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72A80" w14:paraId="10DDADD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8A50F9" w14:textId="77777777" w:rsidR="00872A80" w:rsidRDefault="00523F4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15123F8" w14:textId="77777777" w:rsidR="00872A80" w:rsidRDefault="00523F40">
            <w:pPr>
              <w:spacing w:after="0" w:line="240" w:lineRule="auto"/>
            </w:pPr>
            <w:r>
              <w:t>16779</w:t>
            </w:r>
          </w:p>
        </w:tc>
      </w:tr>
      <w:tr w:rsidR="00872A80" w14:paraId="6A5EC6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622B21" w14:textId="77777777" w:rsidR="00872A80" w:rsidRDefault="00523F4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81D62AA" w14:textId="77777777" w:rsidR="00872A80" w:rsidRDefault="00523F40">
            <w:pPr>
              <w:spacing w:after="0" w:line="240" w:lineRule="auto"/>
            </w:pPr>
            <w:r>
              <w:t>STROJARSKA TEHNIČKA ŠKOLA FAUSTA VRANČIĆA</w:t>
            </w:r>
          </w:p>
        </w:tc>
      </w:tr>
      <w:tr w:rsidR="00872A80" w14:paraId="68581E8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FCDB3E" w14:textId="77777777" w:rsidR="00872A80" w:rsidRDefault="00523F4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F73CBA4" w14:textId="77777777" w:rsidR="00872A80" w:rsidRDefault="00523F40">
            <w:pPr>
              <w:spacing w:after="0" w:line="240" w:lineRule="auto"/>
            </w:pPr>
            <w:r>
              <w:t>31</w:t>
            </w:r>
          </w:p>
        </w:tc>
      </w:tr>
    </w:tbl>
    <w:p w14:paraId="17990E79" w14:textId="77777777" w:rsidR="00872A80" w:rsidRDefault="00523F40">
      <w:r>
        <w:br/>
      </w:r>
    </w:p>
    <w:p w14:paraId="65CCE61C" w14:textId="77777777" w:rsidR="00872A80" w:rsidRDefault="00523F4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0A4BC2F" w14:textId="77777777" w:rsidR="00872A80" w:rsidRDefault="00523F4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D3FBCA" w14:textId="77777777" w:rsidR="00872A80" w:rsidRDefault="00523F4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16F4E60" w14:textId="77777777" w:rsidR="00872A80" w:rsidRDefault="00872A80"/>
    <w:p w14:paraId="661E7D95" w14:textId="77777777" w:rsidR="00872A80" w:rsidRDefault="00523F4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AC4AC9F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47594E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F346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9B7F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4790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478C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B608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4331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6D54DF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C21B5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15F4F1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2B9B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C489F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6.932.711,86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AE81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4.089.846,36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746D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</w:t>
            </w:r>
          </w:p>
        </w:tc>
      </w:tr>
      <w:tr w:rsidR="00872A80" w14:paraId="6C6003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2CD5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C7E0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B193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37B44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3.681.979,10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CDEB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3.271.927,13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89B0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  <w:tr w:rsidR="00872A80" w14:paraId="36C4A1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DD7E3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FFD3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1704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D636E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3.250.732,76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C54A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817.919,23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8F890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25,2</w:t>
            </w:r>
          </w:p>
        </w:tc>
      </w:tr>
      <w:tr w:rsidR="00872A80" w14:paraId="3558EB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EC90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23928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9DFB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988E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558E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FCFF0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72A80" w14:paraId="66880E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C3D6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CB9E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4240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66C2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2.634.575,62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088B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537.017,00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A695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20,4</w:t>
            </w:r>
          </w:p>
        </w:tc>
      </w:tr>
      <w:tr w:rsidR="00872A80" w14:paraId="6B55F1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7645B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1AD4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276A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EE56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2.634.575,62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32FED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537.017,00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287F0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20,4</w:t>
            </w:r>
          </w:p>
        </w:tc>
      </w:tr>
      <w:tr w:rsidR="00872A80" w14:paraId="78A5DF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165B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91E8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558EB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0FF78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57F1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9E07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72A80" w14:paraId="35B164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42FD1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B2A3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01A50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E32B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CBDE0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CE59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72A80" w14:paraId="20EA0F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9BF10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3BA8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8A93B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13FD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BA57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808E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72A80" w14:paraId="6BF36E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9320B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1B79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E309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BFFC8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616.157,14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06218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280.902,23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FDC4E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45,6</w:t>
            </w:r>
          </w:p>
        </w:tc>
      </w:tr>
    </w:tbl>
    <w:p w14:paraId="74F29A90" w14:textId="77777777" w:rsidR="00872A80" w:rsidRDefault="00872A80">
      <w:pPr>
        <w:spacing w:after="0"/>
      </w:pPr>
    </w:p>
    <w:p w14:paraId="1A206FE4" w14:textId="77777777" w:rsidR="00872A80" w:rsidRDefault="00523F40">
      <w:pPr>
        <w:jc w:val="both"/>
      </w:pPr>
      <w:r>
        <w:t>Škola je ostvarila višak u tekućoj godini zbog ugovora s Ministarstvom regionalnoga razvoja i fondova Europske unije  od 2.9.2024. godine (Referentni broj ugovora: JPF.2024.-8.018) za završetak RCK projekta (razdoblje 2014.-2020. godina), te po odobrenom Z</w:t>
      </w:r>
      <w:r>
        <w:t>NS-u i uplati sredstava u 2025. godini priznala prihod od 658.091,03 EUR. Kako je u tijeku novi postupak javne nabave za nastavak gradnje, sredstva namijenjena za gradnju nisu potrošena u 2025. godini. Višak prihoda je manji zbog 13 rashoda plaće u 2025. g</w:t>
      </w:r>
      <w:r>
        <w:t>odini. </w:t>
      </w:r>
    </w:p>
    <w:p w14:paraId="69712EC1" w14:textId="77777777" w:rsidR="00872A80" w:rsidRDefault="00523F40">
      <w:pPr>
        <w:jc w:val="both"/>
      </w:pPr>
      <w:r>
        <w:lastRenderedPageBreak/>
        <w:t>Škola je ostvarila ukupan višak poslovanja u iznosu od 917.521,56 EUR  </w:t>
      </w:r>
    </w:p>
    <w:p w14:paraId="361B9368" w14:textId="77777777" w:rsidR="00872A80" w:rsidRDefault="00523F40">
      <w:pPr>
        <w:jc w:val="both"/>
      </w:pPr>
      <w:r>
        <w:t>Škola je prenijela višak za 2024. godinu u iznosu od 722.629,39 EUR. U 2024. godini, Škola je priznala prihod od 131.980,00 EUR za Erasmus akreditaciju, te je sukladno Okružnic</w:t>
      </w:r>
      <w:r>
        <w:t>i, umanjila je rezultat na 92211 za primljeni predujam za ERASMUS akreditaciju  koji nije potrošila u 2024. godini za 86.010,06 EUR, a u prosincu 2025. nakon odobrenog Završnog izvješća priznala je cjelokupni prihod od 119.005,06 EUR (umanjeni predujam i o</w:t>
      </w:r>
      <w:r>
        <w:t>statak iznosa po ugovoru). U izvještaju je zato iskazan višak iz prethodne godine u iznosu od 636.619,33 EUR. Škola ima otvorene namjenske račune za pojedine projekte (detaljna specifikacija po svakom računu nalazi se uz bilješku br. 1.)</w:t>
      </w:r>
    </w:p>
    <w:p w14:paraId="5AF2C8D5" w14:textId="77777777" w:rsidR="00872A80" w:rsidRDefault="00523F40">
      <w:pPr>
        <w:jc w:val="both"/>
      </w:pPr>
      <w:r>
        <w:t>Ukupni višak se od</w:t>
      </w:r>
      <w:r>
        <w:t>nosi i na prihode od Grada Zagreba iz 2023. godine,  koja su predviđena za završetak rekonstrukcije u projektu uspostave Regionalnog centra Faust. </w:t>
      </w:r>
    </w:p>
    <w:p w14:paraId="2F0F7B3B" w14:textId="77777777" w:rsidR="00872A80" w:rsidRDefault="00523F40">
      <w:r>
        <w:br/>
      </w:r>
    </w:p>
    <w:p w14:paraId="7FF756D4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17399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AFF6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4B39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B536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C115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28F9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BBB9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7607F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645E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542F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66AC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B097F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7FF4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89B0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BF94304" w14:textId="77777777" w:rsidR="00872A80" w:rsidRDefault="00872A80">
      <w:pPr>
        <w:spacing w:after="0"/>
      </w:pPr>
    </w:p>
    <w:p w14:paraId="348CD562" w14:textId="77777777" w:rsidR="00872A80" w:rsidRDefault="00523F40">
      <w:r>
        <w:t>Škola nema prihoda u 2025. godini zbog promjene metodologije, pa su sredstva za novi projekt Virtualna stvarnost nalaze na EU predujmovima.</w:t>
      </w:r>
    </w:p>
    <w:p w14:paraId="19E2DDC8" w14:textId="77777777" w:rsidR="00872A80" w:rsidRDefault="00872A80"/>
    <w:p w14:paraId="2F62F894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E555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7251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6258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AFE9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5E78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F3B5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485F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3C992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2074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7F331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71D92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6305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131.339,56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8A22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659.091,03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20011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501,8</w:t>
            </w:r>
          </w:p>
        </w:tc>
      </w:tr>
    </w:tbl>
    <w:p w14:paraId="16F5AD29" w14:textId="77777777" w:rsidR="00872A80" w:rsidRDefault="00872A80">
      <w:pPr>
        <w:spacing w:after="0"/>
      </w:pPr>
    </w:p>
    <w:p w14:paraId="6A00B1AB" w14:textId="77777777" w:rsidR="00872A80" w:rsidRDefault="00523F40">
      <w:pPr>
        <w:jc w:val="both"/>
      </w:pPr>
      <w:r>
        <w:t> Tekuće pomoći se odnose na plaće i ostala materijalna prava za zaposlene, kao i na prihode za posebne namjene: naknade za rad povjerenstava za stručne ispite, državna natjecanja i sl. Kapitalne pomoći će odnose na sredstva MZOM-a za lektiru u iznosu od 90</w:t>
      </w:r>
      <w:r>
        <w:t>0,00 EUR i ugovor s Ministarstvom regionalnoga razvoja i fondova Europske unije koji je sklopljen 2.9.2024. godine za završetak RCK projekta za razdoblje 2014.-2020. g, te je po odobrenom ZNS-u i uplati sredstava u 2025. godini priznala prihod od 658.091,0</w:t>
      </w:r>
      <w:r>
        <w:t>3 EUR.</w:t>
      </w:r>
    </w:p>
    <w:p w14:paraId="37ACDAAB" w14:textId="77777777" w:rsidR="00872A80" w:rsidRDefault="00872A80"/>
    <w:p w14:paraId="7D4D9B06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68989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12B4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5B3B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CF99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F8B2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9BEE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D105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5224A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E9BD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CD85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4C15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A4648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626.945,44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6EE8E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119.005,06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A927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19,0</w:t>
            </w:r>
          </w:p>
        </w:tc>
      </w:tr>
    </w:tbl>
    <w:p w14:paraId="3F9C9DAC" w14:textId="77777777" w:rsidR="00872A80" w:rsidRDefault="00872A80">
      <w:pPr>
        <w:spacing w:after="0"/>
      </w:pPr>
    </w:p>
    <w:p w14:paraId="7659AB6B" w14:textId="77777777" w:rsidR="00872A80" w:rsidRDefault="00523F40">
      <w:pPr>
        <w:jc w:val="both"/>
      </w:pPr>
      <w:r>
        <w:t>Iznos od 119.005,06 EUR odnosi se na ostvarene prihode od ERASMUS akreditacije za 2024./2025. godinu (umanjen je rezultat za 2024. godinu od 86.010,06 EUR, te je u prosincu priznat prihod u ukupnom potraživanom iznosu nakon priznatog Završnog izvješća).</w:t>
      </w:r>
    </w:p>
    <w:p w14:paraId="69122333" w14:textId="77777777" w:rsidR="00872A80" w:rsidRDefault="00872A80"/>
    <w:p w14:paraId="77DD5B21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01F6C3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DE7A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C52B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E5C5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A9F3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9DA9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2B64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31CFD3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3DBFB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B13F6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</w:t>
            </w:r>
            <w:r>
              <w:rPr>
                <w:sz w:val="18"/>
              </w:rPr>
              <w:t>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9A4C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41D8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E4BDE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14C7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</w:tbl>
    <w:p w14:paraId="0CEF57D7" w14:textId="77777777" w:rsidR="00872A80" w:rsidRDefault="00872A80">
      <w:pPr>
        <w:spacing w:after="0"/>
      </w:pPr>
    </w:p>
    <w:p w14:paraId="55099903" w14:textId="77777777" w:rsidR="00872A80" w:rsidRDefault="00523F40">
      <w:r>
        <w:t>Ostali nespomenuti prihodi se odnose na prihode od duplikata i prijepisa svjedodžbi. U 2024. godini je Škola imala reklamaciju na uslugu i povrat sredstava na račun.</w:t>
      </w:r>
    </w:p>
    <w:p w14:paraId="6C3FF3FC" w14:textId="77777777" w:rsidR="00872A80" w:rsidRDefault="00872A80"/>
    <w:p w14:paraId="6C7FF9F6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798603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5567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2F60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68DB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69CE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D854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F0CA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3F450C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EE1B1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4FC7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6782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BA9F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414A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89BFD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</w:tbl>
    <w:p w14:paraId="56FE8C28" w14:textId="77777777" w:rsidR="00872A80" w:rsidRDefault="00872A80">
      <w:pPr>
        <w:spacing w:after="0"/>
      </w:pPr>
    </w:p>
    <w:p w14:paraId="7E53B0B2" w14:textId="77777777" w:rsidR="00872A80" w:rsidRDefault="00523F40">
      <w:r>
        <w:t>Ostali nespomenuti prihodi se odnose na prihode od duplikata i prijepisa svjedodžbi. U 2024. godini je Škola imala reklamaciju na uslugu i povrat sredstava na račun.</w:t>
      </w:r>
    </w:p>
    <w:p w14:paraId="6BAE9885" w14:textId="77777777" w:rsidR="00872A80" w:rsidRDefault="00872A80"/>
    <w:p w14:paraId="241E09E6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277D18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E7F7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CD9F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1A0A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C358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E4B3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9632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0F9CC8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EFC3A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EE3C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6528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87561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C0BD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0006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</w:tbl>
    <w:p w14:paraId="0CBE5F64" w14:textId="77777777" w:rsidR="00872A80" w:rsidRDefault="00872A80">
      <w:pPr>
        <w:spacing w:after="0"/>
      </w:pPr>
    </w:p>
    <w:p w14:paraId="7E5E3220" w14:textId="77777777" w:rsidR="00872A80" w:rsidRDefault="00523F40">
      <w:r>
        <w:t>Ostali nespomenuti prihodi se odnose na prihode od duplikata i prijepisa svjedodžbi. U 2024. godini je Škola imala reklamaciju na uslugu i povrat sredstava na račun.</w:t>
      </w:r>
    </w:p>
    <w:p w14:paraId="7EB5FBAB" w14:textId="77777777" w:rsidR="00872A80" w:rsidRDefault="00872A80"/>
    <w:p w14:paraId="2684CDAD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7E580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337B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E625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EA5A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5C49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4D02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1E0C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457B15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EF45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16E8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9E33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FB630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D222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28.055,17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446BF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186,2</w:t>
            </w:r>
          </w:p>
        </w:tc>
      </w:tr>
    </w:tbl>
    <w:p w14:paraId="1DE1BEE0" w14:textId="77777777" w:rsidR="00872A80" w:rsidRDefault="00872A80">
      <w:pPr>
        <w:spacing w:after="0"/>
      </w:pPr>
    </w:p>
    <w:p w14:paraId="78646659" w14:textId="77777777" w:rsidR="00872A80" w:rsidRDefault="00523F40">
      <w:pPr>
        <w:jc w:val="both"/>
      </w:pPr>
      <w:r>
        <w:t>Navedeni iznos odnosi se na vlastite prihode, od obrazovanja odraslih, najma kantine i učionica. Škola je sklopila ugovor sa Zagrebačkim bridž savezom u 2025. godini za najam dvorane i učionica zbog obnove Doma sportova, pa je veći prihod od najma prostora</w:t>
      </w:r>
      <w:r>
        <w:t>.</w:t>
      </w:r>
    </w:p>
    <w:p w14:paraId="3EB74F68" w14:textId="77777777" w:rsidR="00872A80" w:rsidRDefault="00872A80"/>
    <w:p w14:paraId="196E11FD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23E36D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4DC2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E4AF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F93B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1C7B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880B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ED6C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2BFBA9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9CD5A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7D78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51E9A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3E6BF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7D6F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EE108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94,4</w:t>
            </w:r>
          </w:p>
        </w:tc>
      </w:tr>
    </w:tbl>
    <w:p w14:paraId="70AEED26" w14:textId="77777777" w:rsidR="00872A80" w:rsidRDefault="00872A80">
      <w:pPr>
        <w:spacing w:after="0"/>
      </w:pPr>
    </w:p>
    <w:p w14:paraId="01CCC16C" w14:textId="77777777" w:rsidR="00872A80" w:rsidRDefault="00523F40">
      <w:r>
        <w:t>Prihodi dobiveni za isplatu dnevnica za maturalna putovanja.</w:t>
      </w:r>
    </w:p>
    <w:p w14:paraId="2724EE07" w14:textId="77777777" w:rsidR="00872A80" w:rsidRDefault="00872A80"/>
    <w:p w14:paraId="4ECC5950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46DC3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B299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6F29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5BDA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8D8D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302E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403A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6EBAC0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5571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1BB75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59392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B116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2.662.474,83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722D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481.864,37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1439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18,1</w:t>
            </w:r>
          </w:p>
        </w:tc>
      </w:tr>
    </w:tbl>
    <w:p w14:paraId="0D764916" w14:textId="77777777" w:rsidR="00872A80" w:rsidRDefault="00872A80">
      <w:pPr>
        <w:spacing w:after="0"/>
      </w:pPr>
    </w:p>
    <w:p w14:paraId="0DDE78C8" w14:textId="77777777" w:rsidR="00872A80" w:rsidRDefault="00523F40">
      <w:pPr>
        <w:jc w:val="both"/>
      </w:pPr>
      <w:r>
        <w:t>Iznos od 481.864,37 EUR uplaćen je za potrebe projekata RCK Faust za ulaganja na tuđoj imovini i troškove povezane s nastavkom RCK projekta. Iznosi su manji nego prethodne godine zbog ponovnog zastoja u gradnji.</w:t>
      </w:r>
    </w:p>
    <w:p w14:paraId="2ACC5571" w14:textId="77777777" w:rsidR="00872A80" w:rsidRDefault="00872A80"/>
    <w:p w14:paraId="7BF6A025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03F41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AB25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77F1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3F2B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2600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A72F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A2AA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0F27B9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2431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05538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27880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5962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2.374.395,94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E0CDD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2.777.042,24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06B0E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14:paraId="020FAC6B" w14:textId="77777777" w:rsidR="00872A80" w:rsidRDefault="00872A80">
      <w:pPr>
        <w:spacing w:after="0"/>
      </w:pPr>
    </w:p>
    <w:p w14:paraId="2E56282A" w14:textId="77777777" w:rsidR="00872A80" w:rsidRDefault="00523F40">
      <w:r>
        <w:t>Svi rashodi su povećani zbog promjene u metodologiji obračuna (13 obračuna plaća u 2025. godini), kao i rasta osnovice za plaću.</w:t>
      </w:r>
    </w:p>
    <w:p w14:paraId="3A4F9BF1" w14:textId="77777777" w:rsidR="00872A80" w:rsidRDefault="00872A80"/>
    <w:p w14:paraId="1B1E3E60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4ED93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BA9D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F631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9360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9BD9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B6C6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977E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4385F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5E2C2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91CF1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83C1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71A6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32.259,22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C8A2D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36.955,80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DD95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31B01EF3" w14:textId="77777777" w:rsidR="00872A80" w:rsidRDefault="00872A80">
      <w:pPr>
        <w:spacing w:after="0"/>
      </w:pPr>
    </w:p>
    <w:p w14:paraId="4CA01CEE" w14:textId="77777777" w:rsidR="00872A80" w:rsidRDefault="00523F40">
      <w:r>
        <w:t>Iznos od 36.955,80 EUR odnosi se na mobilnosti zaposlenika škole u sklopu ERASMUS akreditacije čiji je Škola nositelj.</w:t>
      </w:r>
    </w:p>
    <w:p w14:paraId="3582A955" w14:textId="77777777" w:rsidR="00872A80" w:rsidRDefault="00872A80"/>
    <w:p w14:paraId="70A6F7AB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1E022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85A8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4B23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6FB3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169F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C016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E94E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551DA2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1DA0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A75BD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B6AF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3B5CF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2C0D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D78B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156,7</w:t>
            </w:r>
          </w:p>
        </w:tc>
      </w:tr>
    </w:tbl>
    <w:p w14:paraId="6CF7CE7F" w14:textId="77777777" w:rsidR="00872A80" w:rsidRDefault="00872A80">
      <w:pPr>
        <w:spacing w:after="0"/>
      </w:pPr>
    </w:p>
    <w:p w14:paraId="79B9C8AE" w14:textId="77777777" w:rsidR="00872A80" w:rsidRDefault="00523F40">
      <w:r>
        <w:t>Troškovi materijala za uređenje učionica i hodnika Škole tijekom školskih praznika.</w:t>
      </w:r>
    </w:p>
    <w:p w14:paraId="6754C6CD" w14:textId="77777777" w:rsidR="00872A80" w:rsidRDefault="00872A80"/>
    <w:p w14:paraId="3A5B8F99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288830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0B45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3BD6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5268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3DF4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9CFF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CAF9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65772F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1157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926CB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1C8E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51BA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20E4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9F63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14:paraId="285C04CA" w14:textId="77777777" w:rsidR="00872A80" w:rsidRDefault="00872A80">
      <w:pPr>
        <w:spacing w:after="0"/>
      </w:pPr>
    </w:p>
    <w:p w14:paraId="6D3073C0" w14:textId="77777777" w:rsidR="00872A80" w:rsidRDefault="00523F40">
      <w:r>
        <w:t xml:space="preserve">Povećani troškovi zbog uređenja prostora za učenike ispred ulaza Škole u sklopu projekta ŠIZ (klupe, stol i </w:t>
      </w:r>
      <w:proofErr w:type="spellStart"/>
      <w:r>
        <w:t>žaridnjere</w:t>
      </w:r>
      <w:proofErr w:type="spellEnd"/>
      <w:r>
        <w:t>)</w:t>
      </w:r>
    </w:p>
    <w:p w14:paraId="76D579B1" w14:textId="77777777" w:rsidR="00872A80" w:rsidRDefault="00872A80"/>
    <w:p w14:paraId="76AA7FB2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4A71F4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1CE5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6CBF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C423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5E0C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CD1C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80AC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3884A8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9DA42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6D1C5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A4A76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746D2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4915F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9D45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364,8</w:t>
            </w:r>
          </w:p>
        </w:tc>
      </w:tr>
    </w:tbl>
    <w:p w14:paraId="542E45B8" w14:textId="77777777" w:rsidR="00872A80" w:rsidRDefault="00872A80">
      <w:pPr>
        <w:spacing w:after="0"/>
      </w:pPr>
    </w:p>
    <w:p w14:paraId="0E357A64" w14:textId="77777777" w:rsidR="00872A80" w:rsidRDefault="00523F40">
      <w:r>
        <w:t>Povećani troškovi za nabavu radne obuće i odjeće, koja se nabavlja svake 2 godine.</w:t>
      </w:r>
    </w:p>
    <w:p w14:paraId="34A4F9F0" w14:textId="77777777" w:rsidR="00872A80" w:rsidRDefault="00872A80"/>
    <w:p w14:paraId="38153B16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57DA76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89F1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C4F5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C542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4778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AC52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9F86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B8D0E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88836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E7A9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1361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4DE4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6.772,08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0466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99384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56,1</w:t>
            </w:r>
          </w:p>
        </w:tc>
      </w:tr>
    </w:tbl>
    <w:p w14:paraId="6D6BDBD8" w14:textId="77777777" w:rsidR="00872A80" w:rsidRDefault="00872A80">
      <w:pPr>
        <w:spacing w:after="0"/>
      </w:pPr>
    </w:p>
    <w:p w14:paraId="5DDDEF2B" w14:textId="77777777" w:rsidR="00872A80" w:rsidRDefault="00523F40">
      <w:pPr>
        <w:jc w:val="both"/>
      </w:pPr>
      <w:r>
        <w:t>Iznos od  3.797,22 EUR najvećim dijelom se odnosi se na organizirani prijevoz učenika na terensku nastavu, budući da radionice u Industrijskoj strojarskoj školi nisu bile u upotrebi zbog gradnje. </w:t>
      </w:r>
    </w:p>
    <w:p w14:paraId="262D2EA6" w14:textId="77777777" w:rsidR="00872A80" w:rsidRDefault="00872A80"/>
    <w:p w14:paraId="2E634A9B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71866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1EDE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0AFB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15EB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C440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B032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3FE7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34870C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2CAFB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71E4B6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FF8A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3E78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14.041,49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6085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45.981,56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B242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327,5</w:t>
            </w:r>
          </w:p>
        </w:tc>
      </w:tr>
    </w:tbl>
    <w:p w14:paraId="3C0931ED" w14:textId="77777777" w:rsidR="00872A80" w:rsidRDefault="00872A80">
      <w:pPr>
        <w:spacing w:after="0"/>
      </w:pPr>
    </w:p>
    <w:p w14:paraId="47CD34E7" w14:textId="77777777" w:rsidR="00872A80" w:rsidRDefault="00523F40">
      <w:r>
        <w:t>Iznos od 45.961,56 EUR odnosi se na zamjenu prozora u dijelu učionica, zamjenu sobnih vrata na učionicama, kao i zamjenu ulaznih vrata u Školu. </w:t>
      </w:r>
    </w:p>
    <w:p w14:paraId="267359A9" w14:textId="77777777" w:rsidR="00872A80" w:rsidRDefault="00872A80"/>
    <w:p w14:paraId="324376C5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2C4C0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03D4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AD0B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5B7C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70E3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999D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0A87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58C06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8F516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F573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2779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2605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73E1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64A61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646,4</w:t>
            </w:r>
          </w:p>
        </w:tc>
      </w:tr>
    </w:tbl>
    <w:p w14:paraId="67657120" w14:textId="77777777" w:rsidR="00872A80" w:rsidRDefault="00872A80">
      <w:pPr>
        <w:spacing w:after="0"/>
      </w:pPr>
    </w:p>
    <w:p w14:paraId="39B1C81E" w14:textId="77777777" w:rsidR="00872A80" w:rsidRDefault="00523F40">
      <w:r>
        <w:t xml:space="preserve">Za troškove promidžbenih materijala Škole korištena su vlastita sredstva koja su ostala nakon završenih projekata u svrhu </w:t>
      </w:r>
      <w:proofErr w:type="spellStart"/>
      <w:r>
        <w:t>disiminacije</w:t>
      </w:r>
      <w:proofErr w:type="spellEnd"/>
      <w:r>
        <w:t xml:space="preserve"> istih.</w:t>
      </w:r>
    </w:p>
    <w:p w14:paraId="74570B86" w14:textId="77777777" w:rsidR="00872A80" w:rsidRDefault="00872A80"/>
    <w:p w14:paraId="4A6211B5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50817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E3AA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DC43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DECE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6B2E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A6FB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B5AA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5BA14A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B54E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5044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2C46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599B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76D82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0CE2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171,0</w:t>
            </w:r>
          </w:p>
        </w:tc>
      </w:tr>
    </w:tbl>
    <w:p w14:paraId="55C4CFCC" w14:textId="77777777" w:rsidR="00872A80" w:rsidRDefault="00872A80">
      <w:pPr>
        <w:spacing w:after="0"/>
      </w:pPr>
    </w:p>
    <w:p w14:paraId="7A64B38D" w14:textId="77777777" w:rsidR="00872A80" w:rsidRDefault="00523F40">
      <w:r>
        <w:t>Povećana su sredstva za računalne usluge zbog održavanja opreme koja je nabavljena u sklopu RCK projekta.</w:t>
      </w:r>
    </w:p>
    <w:p w14:paraId="04491E63" w14:textId="77777777" w:rsidR="00872A80" w:rsidRDefault="00872A80"/>
    <w:p w14:paraId="041F80AE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257D8C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835F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B9C7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DBF7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63FD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B391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A5DC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9FF32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6A7F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B78C3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A3A9A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6D0A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F850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9.676,54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F997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171,3</w:t>
            </w:r>
          </w:p>
        </w:tc>
      </w:tr>
    </w:tbl>
    <w:p w14:paraId="4E53ECB3" w14:textId="77777777" w:rsidR="00872A80" w:rsidRDefault="00872A80">
      <w:pPr>
        <w:spacing w:after="0"/>
      </w:pPr>
    </w:p>
    <w:p w14:paraId="04AC7250" w14:textId="77777777" w:rsidR="00872A80" w:rsidRDefault="00523F40">
      <w:r>
        <w:t>Povećan je iznos rashoda za ostale usluge zbog drugačijeg razvrstavanja rashoda, ali je zbog toga smanjen iznos ostalih nespomenutih rashoda.</w:t>
      </w:r>
    </w:p>
    <w:p w14:paraId="66AA0E06" w14:textId="77777777" w:rsidR="00872A80" w:rsidRDefault="00872A80"/>
    <w:p w14:paraId="24E8E767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10C9F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2317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13E6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500B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A396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865E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B229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07ECD8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AD6AB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0A1B6A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A7B50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982AF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90.853,92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7262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162.572,31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F70F2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178,9</w:t>
            </w:r>
          </w:p>
        </w:tc>
      </w:tr>
    </w:tbl>
    <w:p w14:paraId="2436646C" w14:textId="77777777" w:rsidR="00872A80" w:rsidRDefault="00872A80">
      <w:pPr>
        <w:spacing w:after="0"/>
      </w:pPr>
    </w:p>
    <w:p w14:paraId="55B752E2" w14:textId="77777777" w:rsidR="00872A80" w:rsidRDefault="00523F40">
      <w:pPr>
        <w:jc w:val="both"/>
      </w:pPr>
      <w:r>
        <w:t>Iznos od 162.572,31 EUR odnosi se na Erasmus akreditaciju čiji je Škola nositelj, te na putovanje učenika i nastavnika drugih škola na Erasmus mobilnosti u sklopu konzorcija.</w:t>
      </w:r>
    </w:p>
    <w:p w14:paraId="74F38529" w14:textId="77777777" w:rsidR="00872A80" w:rsidRDefault="00872A80"/>
    <w:p w14:paraId="3D4866A9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BD802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7497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A65E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3F23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FCA4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0A6F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1438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30EBC1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A851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1E17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4291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CA19E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14B3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FB768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61EED2" w14:textId="77777777" w:rsidR="00872A80" w:rsidRDefault="00872A80">
      <w:pPr>
        <w:spacing w:after="0"/>
      </w:pPr>
    </w:p>
    <w:p w14:paraId="4B13D311" w14:textId="77777777" w:rsidR="00872A80" w:rsidRDefault="00523F40">
      <w:r>
        <w:t>Navedeni iznos koristi se za premije osiguranja Škole za koje sredstva osigurava Grad Zagreb.</w:t>
      </w:r>
    </w:p>
    <w:p w14:paraId="529518C7" w14:textId="77777777" w:rsidR="00872A80" w:rsidRDefault="00523F40">
      <w:r>
        <w:t> </w:t>
      </w:r>
    </w:p>
    <w:p w14:paraId="3CE46FD2" w14:textId="77777777" w:rsidR="00872A80" w:rsidRDefault="00872A80"/>
    <w:p w14:paraId="22A2A9DA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4987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ACC8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49FE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6FA0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265E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B87A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0423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872A80" w14:paraId="3EE025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E0371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D6DFB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23FC2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4D71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106.472,25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D1AA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636.619,33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4251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597,9</w:t>
            </w:r>
          </w:p>
        </w:tc>
      </w:tr>
    </w:tbl>
    <w:p w14:paraId="3802A534" w14:textId="77777777" w:rsidR="00872A80" w:rsidRDefault="00872A80">
      <w:pPr>
        <w:spacing w:after="0"/>
      </w:pPr>
    </w:p>
    <w:p w14:paraId="58888D43" w14:textId="77777777" w:rsidR="00872A80" w:rsidRDefault="00523F40">
      <w:pPr>
        <w:jc w:val="both"/>
      </w:pPr>
      <w:r>
        <w:t>Škola je prenijela višak za 2024. godinu u iznosu od 722.629,39 EUR. U 2024. godini, Škola je 2024. godine priznala prihod od 131.980,00 EUR za Erasmus akreditaciju, te je sukladno Okružnici, u 2025. godini umanjila je rezultat na 92211 za primljeni preduj</w:t>
      </w:r>
      <w:r>
        <w:t xml:space="preserve">am za ERASMUS akreditaciju  koji nije potrošila u 2024. godini za 86.010,06 EUR, dok je u prosincu 2025. nakon odobrenog Završnog izvješća priznala je cjelokupni prihod od 119.005,06 EUR </w:t>
      </w:r>
      <w:r>
        <w:lastRenderedPageBreak/>
        <w:t>(umanjeni predujam i ostatak iznosa po ugovoru). U izvještaju je slij</w:t>
      </w:r>
      <w:r>
        <w:t>edom toga iskazan višak iz prethodne godine u iznosu od 636.619,33 EUR. Najveći dio sredstava odnosi se na prihode od GZ predviđene za nastavak gradnje. </w:t>
      </w:r>
    </w:p>
    <w:p w14:paraId="09A02739" w14:textId="77777777" w:rsidR="00872A80" w:rsidRDefault="00872A80"/>
    <w:p w14:paraId="600D6E0D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75C8B9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3D95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5B8A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A5ED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585C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AAA5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6A80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12FFC9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C1210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DB29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8852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9C5A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1256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224.352,17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5036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9DF39FA" w14:textId="77777777" w:rsidR="00872A80" w:rsidRDefault="00872A80">
      <w:pPr>
        <w:spacing w:after="0"/>
      </w:pPr>
    </w:p>
    <w:p w14:paraId="03C034CB" w14:textId="77777777" w:rsidR="00872A80" w:rsidRDefault="00523F40">
      <w:r>
        <w:t>Obračunati troškovi plaće i materijalnih prava za 12/2025.</w:t>
      </w:r>
    </w:p>
    <w:p w14:paraId="7FB604B8" w14:textId="77777777" w:rsidR="00872A80" w:rsidRDefault="00872A80"/>
    <w:p w14:paraId="04DFF0CC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5775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56F9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6D78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6866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EA75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55AA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3105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FBF01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612D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E77E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BE8E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2170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55.294,76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9EA64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61.615,69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1D46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5DB3571A" w14:textId="77777777" w:rsidR="00872A80" w:rsidRDefault="00872A80">
      <w:pPr>
        <w:spacing w:after="0"/>
      </w:pPr>
    </w:p>
    <w:p w14:paraId="44216260" w14:textId="77777777" w:rsidR="00872A80" w:rsidRDefault="00523F40">
      <w:r>
        <w:t>Uz nabavu knjiga za školske knjižene, knjižena je nabava udžbenika za učenike.</w:t>
      </w:r>
    </w:p>
    <w:p w14:paraId="4FC7E639" w14:textId="77777777" w:rsidR="00872A80" w:rsidRDefault="00872A80"/>
    <w:p w14:paraId="42D80162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4043B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9DCE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D3F2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C608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119E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C79F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066C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44FD86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2D73E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81986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VIŠAK PRIHODA (šifre X067-Y034)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805C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22A1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616.157,14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66264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280.902,23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9779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45,6</w:t>
            </w:r>
          </w:p>
        </w:tc>
      </w:tr>
    </w:tbl>
    <w:p w14:paraId="4D1D50D0" w14:textId="77777777" w:rsidR="00872A80" w:rsidRDefault="00872A80">
      <w:pPr>
        <w:spacing w:after="0"/>
      </w:pPr>
    </w:p>
    <w:p w14:paraId="78B20883" w14:textId="77777777" w:rsidR="00872A80" w:rsidRDefault="00523F40">
      <w:r>
        <w:t>Škola je ostvarila višak u tekućoj godini zbog ugovora s Ministarstvom regionalnoga razvoja i fondova Europske unije za završetak RCK projekta (razdoblje 2014.-2020. godina), te po odobrenom ZNS-u i uplati sredstava u 2025. godini priznala prihod od 658.09</w:t>
      </w:r>
      <w:r>
        <w:t>1,03 EUR. Kako se ponovo provodi postupak javne nabave za nastavak gradnje, sredstva nisu potrošena u 2025. godini. Višak prihoda je manji zbog 13 rashoda plaće u 2025. godini. </w:t>
      </w:r>
    </w:p>
    <w:p w14:paraId="60FD7855" w14:textId="77777777" w:rsidR="00872A80" w:rsidRDefault="00872A80"/>
    <w:p w14:paraId="76FE40B3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EF9D7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4FB7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0594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CD59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B374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3AF6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BCBE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52FE70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6A62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B047D5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09C4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85132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106.472,25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FB950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636.619,33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51D3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597,9</w:t>
            </w:r>
          </w:p>
        </w:tc>
      </w:tr>
    </w:tbl>
    <w:p w14:paraId="0636FCFE" w14:textId="77777777" w:rsidR="00872A80" w:rsidRDefault="00872A80">
      <w:pPr>
        <w:spacing w:after="0"/>
      </w:pPr>
    </w:p>
    <w:p w14:paraId="06944DF4" w14:textId="77777777" w:rsidR="00872A80" w:rsidRDefault="00523F40">
      <w:pPr>
        <w:jc w:val="both"/>
      </w:pPr>
      <w:r>
        <w:lastRenderedPageBreak/>
        <w:t>Škola je prenijela višak za 2024. godinu u iznosu od 722.629,39 EUR. U 2024. godini, Škola je priznala prihod od 131.980,00 EUR za Erasmus akreditaciju, te je sukladno Okružnici, umanjila je rezultat na 92211 za primljeni predujam za ERASMUS akreditaciju  </w:t>
      </w:r>
      <w:r>
        <w:t>koji nije potrošila u 2024. godini za 86.010,06 EUR, a u prosincu 2025. nakon odobrenog Završnog izvješća priznala je cjelokupni prihod od 119.005,06 EUR (umanjeni predujam i ostatak iznosa po ugovoru). U izvještaju je zato iskazan višak iz prethodne godin</w:t>
      </w:r>
      <w:r>
        <w:t>e u iznosu od 636.619,33 EUR. Škola ima otvorene namjenske račune za pojedine projekte (detaljna specifikacija po svakom računu nalazi se uz bilješku o stanju računa u bilanci) </w:t>
      </w:r>
    </w:p>
    <w:p w14:paraId="027F4D88" w14:textId="77777777" w:rsidR="00872A80" w:rsidRDefault="00872A80"/>
    <w:p w14:paraId="68CDFD3F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672D36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9457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B909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6FC4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9CAB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2F04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7A76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454F9D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3C1B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CAA1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5BE7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8EF8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9606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224.352,17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48498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A4CA428" w14:textId="77777777" w:rsidR="00872A80" w:rsidRDefault="00872A80">
      <w:pPr>
        <w:spacing w:after="0"/>
      </w:pPr>
    </w:p>
    <w:p w14:paraId="094254D9" w14:textId="77777777" w:rsidR="00872A80" w:rsidRDefault="00523F40">
      <w:r>
        <w:t>Većinom se odnose za rashode za plaću za 12/2025 godine.</w:t>
      </w:r>
    </w:p>
    <w:p w14:paraId="50BDB2CB" w14:textId="77777777" w:rsidR="00872A80" w:rsidRDefault="00872A80"/>
    <w:p w14:paraId="1880E4CC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EA1D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631C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0D76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3FC5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41D0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A485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637A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0F9B70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F9EBE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9C65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</w:t>
            </w:r>
            <w:r>
              <w:rPr>
                <w:sz w:val="18"/>
              </w:rPr>
              <w:t>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B30A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74FB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616.157,14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9E46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280.902,23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C948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45,6</w:t>
            </w:r>
          </w:p>
        </w:tc>
      </w:tr>
    </w:tbl>
    <w:p w14:paraId="5941C1A1" w14:textId="77777777" w:rsidR="00872A80" w:rsidRDefault="00872A80">
      <w:pPr>
        <w:spacing w:after="0"/>
      </w:pPr>
    </w:p>
    <w:p w14:paraId="4AAE20B1" w14:textId="77777777" w:rsidR="00872A80" w:rsidRDefault="00523F40">
      <w:r>
        <w:t>Škola je ostvarila višak u tekućoj godini zbog ugovora s Ministarstvom regionalnoga razvoja i fondova Europske unije  od 2.9.2024. godine (Referentni broj ugovora: JPF.2024.-8.018) za završetak RCK projekta (razdoblje 2014.-2020. godina), te po odobrenom Z</w:t>
      </w:r>
      <w:r>
        <w:t>NS-u i uplati sredstava u 2025. godini priznala prihod od 658.091,03 EUR. Kako je u tijeku novi postupak javne nabave za nastavak gradnje, sredstva namijenjena za gradnju nisu potrošena u 2025. godini. Višak prihoda je manji zbog 13 rashoda plaće u 2025. g</w:t>
      </w:r>
      <w:r>
        <w:t>odini. </w:t>
      </w:r>
    </w:p>
    <w:p w14:paraId="15291306" w14:textId="77777777" w:rsidR="00872A80" w:rsidRDefault="00872A80"/>
    <w:p w14:paraId="63CB9628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8E870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C799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14F6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FE91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D62C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272A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684F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22467D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20E22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50305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raspoloživ u sljedećem razdoblju (šifre X005 + </w:t>
            </w:r>
            <w:r>
              <w:rPr>
                <w:sz w:val="18"/>
              </w:rPr>
              <w:t>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1BA65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89DE4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722.629,39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E0E91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917.521,56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1A93D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14:paraId="0555DA74" w14:textId="77777777" w:rsidR="00872A80" w:rsidRDefault="00872A80">
      <w:pPr>
        <w:spacing w:after="0"/>
      </w:pPr>
    </w:p>
    <w:p w14:paraId="49AA3C9A" w14:textId="77777777" w:rsidR="00872A80" w:rsidRDefault="00523F40">
      <w:pPr>
        <w:jc w:val="both"/>
      </w:pPr>
      <w:r>
        <w:t>Škola je ostvarila ukupan višak poslovanja u iznosu od 917.521,56 EUR  </w:t>
      </w:r>
    </w:p>
    <w:p w14:paraId="22E3BD15" w14:textId="77777777" w:rsidR="00872A80" w:rsidRDefault="00523F40">
      <w:pPr>
        <w:jc w:val="both"/>
      </w:pPr>
      <w:r>
        <w:t>Škola je prenijela višak za 2024. godinu u iznosu od 722.629,39 EUR. U 2024. godini, Škola je priznala prihod od 131.980,00 EUR za Erasmus akreditaciju, te je sukladno Okružnici, umanjila je rezultat na 92211 za primljeni predujam za ERASMUS akreditaciju  </w:t>
      </w:r>
      <w:r>
        <w:t xml:space="preserve">koji nije </w:t>
      </w:r>
      <w:r>
        <w:lastRenderedPageBreak/>
        <w:t>potrošila u 2024. godini za 86.010,06 EUR, a u prosincu 2025. nakon odobrenog Završnog izvješća priznala je cjelokupni prihod od 119.005,06 EUR (umanjeni predujam i ostatak iznosa po ugovoru). U izvještaju je zato iskazan višak iz prethodne godin</w:t>
      </w:r>
      <w:r>
        <w:t>e u iznosu od 636.619,33 EUR. Škola ima otvorene namjenske račune za pojedine projekte (detaljna specifikacija po svakom računu nalazi se uz bilješku br. 1.)</w:t>
      </w:r>
    </w:p>
    <w:p w14:paraId="15D9A001" w14:textId="77777777" w:rsidR="00872A80" w:rsidRDefault="00523F40">
      <w:pPr>
        <w:jc w:val="both"/>
      </w:pPr>
      <w:r>
        <w:t>Ukupni višak se odnosi i na prihode od Grada Zagreba iz 2023. godine,  koja su predviđena za završ</w:t>
      </w:r>
      <w:r>
        <w:t>etak rekonstrukcije u projektu uspostave Regionalnog centra Faust. </w:t>
      </w:r>
    </w:p>
    <w:p w14:paraId="58DC03E1" w14:textId="77777777" w:rsidR="00872A80" w:rsidRDefault="00872A80"/>
    <w:p w14:paraId="0B8DAD73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10927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3DF0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00FF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183A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52A8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CB2F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988D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54500A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F6C40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8C00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C5C4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E154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2D881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16.415,03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87793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233,6</w:t>
            </w:r>
          </w:p>
        </w:tc>
      </w:tr>
    </w:tbl>
    <w:p w14:paraId="1DAC3DFB" w14:textId="77777777" w:rsidR="00872A80" w:rsidRDefault="00872A80">
      <w:pPr>
        <w:spacing w:after="0"/>
      </w:pPr>
    </w:p>
    <w:p w14:paraId="73D285DF" w14:textId="77777777" w:rsidR="00872A80" w:rsidRDefault="00523F40">
      <w:r>
        <w:t>Povećan broj djelatnika koji su otišli u starosnu mirovinu.</w:t>
      </w:r>
    </w:p>
    <w:p w14:paraId="6E66A4FC" w14:textId="77777777" w:rsidR="00872A80" w:rsidRDefault="00872A80"/>
    <w:p w14:paraId="72D443D1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1A0F5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A94E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F0BA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EE62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1246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DD43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30B2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EFB2C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D9B0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3149B0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4BF39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8E930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43.339,05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6BD7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67.703,76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F4EB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156,2</w:t>
            </w:r>
          </w:p>
        </w:tc>
      </w:tr>
    </w:tbl>
    <w:p w14:paraId="04E248AD" w14:textId="77777777" w:rsidR="00872A80" w:rsidRDefault="00872A80">
      <w:pPr>
        <w:spacing w:after="0"/>
      </w:pPr>
    </w:p>
    <w:p w14:paraId="780ADA9A" w14:textId="77777777" w:rsidR="00872A80" w:rsidRDefault="00523F40">
      <w:r>
        <w:t>Povećan broj ugovora o djelu zbog ugovora sa Zagrebačkim bridž savezom o najmu prostora tijekom godine. </w:t>
      </w:r>
    </w:p>
    <w:p w14:paraId="53714A45" w14:textId="77777777" w:rsidR="00872A80" w:rsidRDefault="00872A80"/>
    <w:p w14:paraId="3C3B0A84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4AC2A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F2E7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5594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EC36C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BDCC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1904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84F9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4C68EF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8DEFA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FEDAB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9534F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DB35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63946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FE10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186,0</w:t>
            </w:r>
          </w:p>
        </w:tc>
      </w:tr>
    </w:tbl>
    <w:p w14:paraId="70B37522" w14:textId="77777777" w:rsidR="00872A80" w:rsidRDefault="00872A80">
      <w:pPr>
        <w:spacing w:after="0"/>
      </w:pPr>
    </w:p>
    <w:p w14:paraId="2FA19BF4" w14:textId="77777777" w:rsidR="00872A80" w:rsidRDefault="00523F40">
      <w:r>
        <w:t>Povećana naknada za rad u upravnim tijelima i redovita isplata sredstava za stručne ispite.</w:t>
      </w:r>
    </w:p>
    <w:p w14:paraId="65E8AA31" w14:textId="77777777" w:rsidR="00872A80" w:rsidRDefault="00872A80"/>
    <w:p w14:paraId="29D60FBD" w14:textId="77777777" w:rsidR="00872A80" w:rsidRDefault="00523F4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14269BC1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03441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209A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899D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2AEF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EF5C1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68D2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31406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71002D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6AA54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B142D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Novac na računu kod tuzemnih poslovnih </w:t>
            </w:r>
            <w:r>
              <w:rPr>
                <w:sz w:val="18"/>
              </w:rPr>
              <w:t>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E1948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CBD92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806.346,56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1386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1.376.563,84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E4B6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14:paraId="2ECF0122" w14:textId="77777777" w:rsidR="00872A80" w:rsidRDefault="00872A80">
      <w:pPr>
        <w:spacing w:after="0"/>
      </w:pPr>
    </w:p>
    <w:p w14:paraId="566B424D" w14:textId="77777777" w:rsidR="00872A80" w:rsidRDefault="00523F40">
      <w:pPr>
        <w:jc w:val="both"/>
      </w:pPr>
      <w:r>
        <w:t>R.B. STANJE ŽIRO RAČUNA – 31.12.2025.  BROJ  IZNOS – EUR</w:t>
      </w:r>
      <w:r>
        <w:br/>
        <w:t xml:space="preserve">1.        Redovni račun HR52 -   </w:t>
      </w:r>
      <w:r>
        <w:rPr>
          <w:b/>
        </w:rPr>
        <w:t xml:space="preserve">88.065,23 EUR </w:t>
      </w:r>
      <w:r>
        <w:t>(većinom vlastiti neizravni troškovi, vlastiti prihodi, namjenski prihodi MZO/GZ)</w:t>
      </w:r>
      <w:r>
        <w:br/>
        <w:t xml:space="preserve">2.       Namjenski račun – RCK I HR94   - </w:t>
      </w:r>
      <w:r>
        <w:rPr>
          <w:b/>
        </w:rPr>
        <w:t>806.766,95 EUR</w:t>
      </w:r>
      <w:r>
        <w:t xml:space="preserve"> (DP prihod, GZ namjenski, vlastiti neizravni troškovi)</w:t>
      </w:r>
      <w:r>
        <w:br/>
        <w:t xml:space="preserve">3.       Namjenski račun – RCK II  HR 78  - </w:t>
      </w:r>
      <w:r>
        <w:rPr>
          <w:b/>
        </w:rPr>
        <w:t>359.497,08 EUR</w:t>
      </w:r>
      <w:r>
        <w:t xml:space="preserve"> (GZ</w:t>
      </w:r>
      <w:r>
        <w:t xml:space="preserve"> namjenski)</w:t>
      </w:r>
      <w:r>
        <w:br/>
        <w:t xml:space="preserve">4.       Namjenski račun – WE COMMIT HR 44  - </w:t>
      </w:r>
      <w:r>
        <w:rPr>
          <w:b/>
        </w:rPr>
        <w:t xml:space="preserve">8.831,36 EUR </w:t>
      </w:r>
      <w:r>
        <w:t xml:space="preserve">(vlastiti prihodi nakon završenog EU projekta predviđeni za </w:t>
      </w:r>
      <w:proofErr w:type="spellStart"/>
      <w:r>
        <w:t>disiminaciju</w:t>
      </w:r>
      <w:proofErr w:type="spellEnd"/>
      <w:r>
        <w:t xml:space="preserve"> projekta)</w:t>
      </w:r>
      <w:r>
        <w:br/>
        <w:t xml:space="preserve">5.       Namjenski račun – ERASMUS AKREDITACIJA HR 18 </w:t>
      </w:r>
      <w:r>
        <w:rPr>
          <w:b/>
        </w:rPr>
        <w:t xml:space="preserve">113.403,22 EUR </w:t>
      </w:r>
      <w:r>
        <w:t>(vlastiti prihodi od završenih Er</w:t>
      </w:r>
      <w:r>
        <w:t xml:space="preserve">asmusa, priznati prihod od projekta  3D                      </w:t>
      </w:r>
      <w:proofErr w:type="spellStart"/>
      <w:r>
        <w:t>Academy</w:t>
      </w:r>
      <w:proofErr w:type="spellEnd"/>
      <w:r>
        <w:t>, predujmovi za Erasmus akreditaciju i projekt Virtualna stvarnost)</w:t>
      </w:r>
      <w:r>
        <w:br/>
        <w:t xml:space="preserve">UKUPNO:  </w:t>
      </w:r>
      <w:r>
        <w:rPr>
          <w:b/>
        </w:rPr>
        <w:t>1.376.563,84 EUR</w:t>
      </w:r>
    </w:p>
    <w:p w14:paraId="6BDB72B7" w14:textId="77777777" w:rsidR="00872A80" w:rsidRDefault="00872A80"/>
    <w:p w14:paraId="5CCCC227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3317C6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12CC2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ED91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BB75A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5C9B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953E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31D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872A80" w14:paraId="4C571E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B002C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E25E91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2BE90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564A4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2C89C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6EB22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362,3</w:t>
            </w:r>
          </w:p>
        </w:tc>
      </w:tr>
    </w:tbl>
    <w:p w14:paraId="4535AE28" w14:textId="77777777" w:rsidR="00872A80" w:rsidRDefault="00872A80">
      <w:pPr>
        <w:spacing w:after="0"/>
      </w:pPr>
    </w:p>
    <w:p w14:paraId="3767077A" w14:textId="77777777" w:rsidR="00872A80" w:rsidRDefault="00523F40">
      <w:r>
        <w:t>Plaćen predujam za nabavu uredskog namještaja za kabinete nastavnika.</w:t>
      </w:r>
    </w:p>
    <w:p w14:paraId="0696B016" w14:textId="77777777" w:rsidR="00872A80" w:rsidRDefault="00872A80"/>
    <w:p w14:paraId="5DEDEA85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15504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AE8CE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1DD4F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3FB9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69150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1874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F60C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591656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0606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E8AA3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EU predujmove dane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94C6E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60129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75CA1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98B6B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FA6872" w14:textId="77777777" w:rsidR="00872A80" w:rsidRDefault="00872A80">
      <w:pPr>
        <w:spacing w:after="0"/>
      </w:pPr>
    </w:p>
    <w:p w14:paraId="4985C364" w14:textId="77777777" w:rsidR="00872A80" w:rsidRDefault="00523F40">
      <w:r>
        <w:t>Predujam za Erasmus akreditaciju za 2025./2026. godinu.</w:t>
      </w:r>
    </w:p>
    <w:p w14:paraId="2BA5B556" w14:textId="77777777" w:rsidR="00872A80" w:rsidRDefault="00872A80"/>
    <w:p w14:paraId="0F2A6E33" w14:textId="77777777" w:rsidR="00872A80" w:rsidRDefault="00523F4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69D258B7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2A80" w14:paraId="6D99C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25B8B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EAF07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D569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0B248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4530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198A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686E06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AD71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B3C71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A8AC7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AB1F5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9F0A7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654.550,51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1F8AD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5FE9F3B6" w14:textId="77777777" w:rsidR="00872A80" w:rsidRDefault="00872A80">
      <w:pPr>
        <w:spacing w:after="0"/>
      </w:pPr>
    </w:p>
    <w:p w14:paraId="2D377DA9" w14:textId="77777777" w:rsidR="00872A80" w:rsidRDefault="00523F40">
      <w:pPr>
        <w:jc w:val="both"/>
      </w:pPr>
      <w:r>
        <w:t>Iznos od 900,00 EUR odnosi se povećanje imovine od Grada Zagreba za prijenosno računalo u svrhu obrade podataka za ZG COP.</w:t>
      </w:r>
    </w:p>
    <w:p w14:paraId="44DC8F7D" w14:textId="77777777" w:rsidR="00872A80" w:rsidRDefault="00523F40">
      <w:pPr>
        <w:jc w:val="both"/>
      </w:pPr>
      <w:r>
        <w:t xml:space="preserve">Iznos od 654.550,51 EUR se odnosi na smanjenje obujma zbog prijenosa imovine školama partnerima po završenom RCK projektu i obračunu </w:t>
      </w:r>
      <w:r>
        <w:t>ispravka vrijednosti imovine.</w:t>
      </w:r>
    </w:p>
    <w:p w14:paraId="5C79991B" w14:textId="77777777" w:rsidR="00872A80" w:rsidRDefault="00872A80"/>
    <w:p w14:paraId="3FF393D3" w14:textId="77777777" w:rsidR="00872A80" w:rsidRDefault="00523F4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E7AD885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72A80" w14:paraId="31AE10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16279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B950D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1C613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8A324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77205" w14:textId="77777777" w:rsidR="00872A80" w:rsidRDefault="00523F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2A80" w14:paraId="52413E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61F11" w14:textId="77777777" w:rsidR="00872A80" w:rsidRDefault="00872A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2D6A6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1615D" w14:textId="77777777" w:rsidR="00872A80" w:rsidRDefault="00523F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11C6E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29.438,77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C742A" w14:textId="77777777" w:rsidR="00872A80" w:rsidRDefault="00523F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0E87BB" w14:textId="77777777" w:rsidR="00872A80" w:rsidRDefault="00872A80">
      <w:pPr>
        <w:spacing w:after="0"/>
      </w:pPr>
    </w:p>
    <w:p w14:paraId="4479E7B3" w14:textId="77777777" w:rsidR="00872A80" w:rsidRDefault="00523F40">
      <w:pPr>
        <w:jc w:val="both"/>
      </w:pPr>
      <w:r>
        <w:t>Škola je imala dospjele obaveza za rashode na dan 31.12.2025. godine u iznosu od 29.438,77 EUR, od čega 7.848,15 EUR zbog neizvršene usluge za uređenje svlačionica u sportskoj dvorani,  50,64 EUR obvezu prema zaposleniku za izvršeno plaćanje 29.12.2025. go</w:t>
      </w:r>
      <w:r>
        <w:t>dine, kao i 21.562,50 EUR zbog neizvršene usluge u navedenom vremenskom okviru, koja se odnosi na RCK projekt i trenutni zastoj radova zbog ponavljanja postupka javne nabave  (projektiranje i odabir izvođača).</w:t>
      </w:r>
    </w:p>
    <w:p w14:paraId="13BAA4E8" w14:textId="77777777" w:rsidR="00872A80" w:rsidRDefault="00872A80"/>
    <w:p w14:paraId="7A551AD0" w14:textId="77777777" w:rsidR="00872A80" w:rsidRDefault="00523F40">
      <w:pPr>
        <w:keepNext/>
        <w:spacing w:line="240" w:lineRule="auto"/>
        <w:jc w:val="center"/>
      </w:pPr>
      <w:r>
        <w:rPr>
          <w:sz w:val="28"/>
        </w:rPr>
        <w:t>Bilješka 39.</w:t>
      </w:r>
    </w:p>
    <w:p w14:paraId="2DF2A928" w14:textId="77777777" w:rsidR="00872A80" w:rsidRDefault="00523F40">
      <w:pPr>
        <w:spacing w:line="240" w:lineRule="auto"/>
        <w:jc w:val="both"/>
      </w:pPr>
      <w:r>
        <w:rPr>
          <w:b/>
        </w:rPr>
        <w:t>EU izvještaj</w:t>
      </w:r>
    </w:p>
    <w:p w14:paraId="5150264B" w14:textId="77777777" w:rsidR="00872A80" w:rsidRDefault="00523F40">
      <w:pPr>
        <w:jc w:val="both"/>
      </w:pPr>
      <w:r>
        <w:t>Škola je u 2024. go</w:t>
      </w:r>
      <w:r>
        <w:t>dini zaprimila sredstva za odobrene završne ZNS-ove nakon završetka projekta 29.12.2023. godine. Kako bi podmirila račune za nabavu opreme, koja je bila predviđena u projektima RCK Faust i RCK Faust strojarstvo, Grad Zagreb je financirao dio opreme, kako b</w:t>
      </w:r>
      <w:r>
        <w:t>i računi, sukladno ugovoru, bili podmireni za vrijeme trajanja projekta, u svrhu potraživanja navedenih sredstava iz EU fondova. Budući da je oprema plaćena u 2023. godini, navedena sredstva nisu potrošena u 2024. godini, već su planirani za financiranje u</w:t>
      </w:r>
      <w:r>
        <w:t xml:space="preserve">spostave RCK Faust. U međuvremenu je došlo do zastoja radova, te je u tijeku nova javna nabava za odabir projektanta,  kao i izvođača radova. Sredstva koja su u 2024. godini dobivena kao tekuće pomoći isplaćene su partnerima u projektu, sukladno ugovoru i </w:t>
      </w:r>
      <w:r>
        <w:t>priznatim troškovima iz završnog izvješća.</w:t>
      </w:r>
    </w:p>
    <w:p w14:paraId="0AD9DF05" w14:textId="77777777" w:rsidR="00872A80" w:rsidRDefault="00523F40">
      <w:pPr>
        <w:jc w:val="both"/>
      </w:pPr>
      <w:r>
        <w:t xml:space="preserve">Škola je priznala prihod od 131.980,00 EUR za Erasmus akreditaciju, te je sukladno Okružnici, umanjila je rezultat na 92211 za primljeni predujam za ERASMUS akreditaciju </w:t>
      </w:r>
      <w:r>
        <w:lastRenderedPageBreak/>
        <w:t> koji nije potrošila u 2024. godini za 86.0</w:t>
      </w:r>
      <w:r>
        <w:t>10,06 EUR, a u prosincu 2025. godine, nakon odobrenog Završnog izvješća, priznala je cjelokupni prihod od 119.005,06 EUR (umanjeni predujam i ostatak iznosa po ugovoru). Budući da je Škola je ostvarila sve  mobilnosti prema planu (stručna usavršavanja i na</w:t>
      </w:r>
      <w:r>
        <w:t>knade osobama izvan radnog odnosa), isplaćen je cjelokupni iznos ugovoren između Škole i AMPEU. Škola je financirala nabavu uredskog i školskog namještaja, kao i opreme, iz vlastitih sredstava koji su ostali Školi nakon završenih RCK projekata, te je dio o</w:t>
      </w:r>
      <w:r>
        <w:t>stalih rashoda financirala iz sredstava koji su ostali kao dio organizacijskih troškova, nakon završenih projekata koje je Škola provodila u prethodnim godinama.</w:t>
      </w:r>
    </w:p>
    <w:p w14:paraId="634D7923" w14:textId="77777777" w:rsidR="00872A80" w:rsidRDefault="00523F40">
      <w:pPr>
        <w:jc w:val="both"/>
      </w:pPr>
      <w:r>
        <w:t xml:space="preserve">Predujam za novu Erasmus akreditaciju od 160.000,00 EUR knjižen je na primljene predujme, kao </w:t>
      </w:r>
      <w:r>
        <w:t xml:space="preserve">i iznos od 9.857,80 EUR kao prvi predujam za novi projekt Virtualna stvarnost, u kojem je Škola partner na projektu koji provodi </w:t>
      </w:r>
      <w:proofErr w:type="spellStart"/>
      <w:r>
        <w:t>Střední</w:t>
      </w:r>
      <w:proofErr w:type="spellEnd"/>
      <w:r>
        <w:t xml:space="preserve"> škola filmová, </w:t>
      </w:r>
      <w:proofErr w:type="spellStart"/>
      <w:r>
        <w:t>multimediální</w:t>
      </w:r>
      <w:proofErr w:type="spellEnd"/>
      <w:r>
        <w:t xml:space="preserve"> a </w:t>
      </w:r>
      <w:proofErr w:type="spellStart"/>
      <w:r>
        <w:t>počítačových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 </w:t>
      </w:r>
    </w:p>
    <w:p w14:paraId="2E2D2801" w14:textId="77777777" w:rsidR="00872A80" w:rsidRDefault="00872A80"/>
    <w:sectPr w:rsidR="0087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80"/>
    <w:rsid w:val="00523F40"/>
    <w:rsid w:val="008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0AC5"/>
  <w15:docId w15:val="{5816E224-A907-4E05-A9C1-98FAA647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3346</Words>
  <Characters>19075</Characters>
  <Application>Microsoft Office Word</Application>
  <DocSecurity>0</DocSecurity>
  <Lines>158</Lines>
  <Paragraphs>44</Paragraphs>
  <ScaleCrop>false</ScaleCrop>
  <Company/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2026-02-02T14:18:00Z</dcterms:created>
  <dcterms:modified xsi:type="dcterms:W3CDTF">2026-02-02T14:18:00Z</dcterms:modified>
</cp:coreProperties>
</file>